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3" w:type="dxa"/>
        <w:jc w:val="center"/>
        <w:tblInd w:w="-542" w:type="dxa"/>
        <w:tblLayout w:type="fixed"/>
        <w:tblLook w:val="04A0" w:firstRow="1" w:lastRow="0" w:firstColumn="1" w:lastColumn="0" w:noHBand="0" w:noVBand="1"/>
      </w:tblPr>
      <w:tblGrid>
        <w:gridCol w:w="1959"/>
        <w:gridCol w:w="6009"/>
        <w:gridCol w:w="2615"/>
      </w:tblGrid>
      <w:tr w:rsidR="00EC4278" w:rsidTr="00035715">
        <w:trPr>
          <w:jc w:val="center"/>
        </w:trPr>
        <w:tc>
          <w:tcPr>
            <w:tcW w:w="1959" w:type="dxa"/>
            <w:tcBorders>
              <w:top w:val="single" w:sz="10" w:space="0" w:color="C89B3C"/>
              <w:bottom w:val="single" w:sz="10" w:space="0" w:color="C89B3C"/>
            </w:tcBorders>
            <w:shd w:val="clear" w:color="auto" w:fill="0B2A52"/>
            <w:tcMar>
              <w:top w:w="90" w:type="dxa"/>
              <w:left w:w="120" w:type="dxa"/>
              <w:bottom w:w="90" w:type="dxa"/>
              <w:right w:w="120" w:type="dxa"/>
            </w:tcMar>
            <w:vAlign w:val="center"/>
          </w:tcPr>
          <w:p w:rsidR="00EC4278" w:rsidRDefault="00A7560F">
            <w:pPr>
              <w:spacing w:after="0" w:line="240" w:lineRule="auto"/>
            </w:pPr>
            <w:r>
              <w:rPr>
                <w:noProof/>
                <w:lang w:val="ru-RU" w:eastAsia="ru-RU"/>
              </w:rPr>
              <w:drawing>
                <wp:inline distT="0" distB="0" distL="0" distR="0" wp14:anchorId="1492BA8A" wp14:editId="5C0AF016">
                  <wp:extent cx="765544" cy="765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_Journal_Official_Logo.png"/>
                          <pic:cNvPicPr/>
                        </pic:nvPicPr>
                        <pic:blipFill>
                          <a:blip r:embed="rId9"/>
                          <a:stretch>
                            <a:fillRect/>
                          </a:stretch>
                        </pic:blipFill>
                        <pic:spPr>
                          <a:xfrm>
                            <a:off x="0" y="0"/>
                            <a:ext cx="756936" cy="756936"/>
                          </a:xfrm>
                          <a:prstGeom prst="rect">
                            <a:avLst/>
                          </a:prstGeom>
                        </pic:spPr>
                      </pic:pic>
                    </a:graphicData>
                  </a:graphic>
                </wp:inline>
              </w:drawing>
            </w:r>
          </w:p>
        </w:tc>
        <w:tc>
          <w:tcPr>
            <w:tcW w:w="6009" w:type="dxa"/>
            <w:tcBorders>
              <w:top w:val="single" w:sz="10" w:space="0" w:color="C89B3C"/>
              <w:bottom w:val="single" w:sz="10" w:space="0" w:color="C89B3C"/>
            </w:tcBorders>
            <w:shd w:val="clear" w:color="auto" w:fill="0B2A52"/>
            <w:tcMar>
              <w:top w:w="90" w:type="dxa"/>
              <w:left w:w="120" w:type="dxa"/>
              <w:bottom w:w="90" w:type="dxa"/>
              <w:right w:w="120" w:type="dxa"/>
            </w:tcMar>
            <w:vAlign w:val="center"/>
          </w:tcPr>
          <w:p w:rsidR="00EC4278" w:rsidRDefault="00A7560F">
            <w:pPr>
              <w:spacing w:after="0" w:line="240" w:lineRule="auto"/>
              <w:jc w:val="center"/>
            </w:pPr>
            <w:r>
              <w:rPr>
                <w:rFonts w:ascii="Arial" w:hAnsi="Arial"/>
                <w:color w:val="FFFFFF"/>
                <w:sz w:val="34"/>
              </w:rPr>
              <w:t>GLOBAL JOURNAL OF</w:t>
            </w:r>
          </w:p>
          <w:p w:rsidR="00EC4278" w:rsidRDefault="00A7560F">
            <w:pPr>
              <w:spacing w:after="0" w:line="240" w:lineRule="auto"/>
              <w:jc w:val="center"/>
            </w:pPr>
            <w:r>
              <w:rPr>
                <w:rFonts w:ascii="Arial" w:hAnsi="Arial"/>
                <w:b/>
                <w:color w:val="FFFFFF"/>
                <w:sz w:val="37"/>
              </w:rPr>
              <w:t>CROSS-DISCIPLINARY</w:t>
            </w:r>
          </w:p>
          <w:p w:rsidR="00EC4278" w:rsidRDefault="00A7560F">
            <w:pPr>
              <w:spacing w:after="0" w:line="240" w:lineRule="auto"/>
              <w:jc w:val="center"/>
            </w:pPr>
            <w:r>
              <w:rPr>
                <w:rFonts w:ascii="Arial" w:hAnsi="Arial"/>
                <w:b/>
                <w:color w:val="FFFFFF"/>
                <w:sz w:val="37"/>
              </w:rPr>
              <w:t>INNOVATIONS</w:t>
            </w:r>
          </w:p>
          <w:p w:rsidR="00EC4278" w:rsidRDefault="00A7560F">
            <w:pPr>
              <w:spacing w:before="40" w:after="0" w:line="240" w:lineRule="auto"/>
              <w:jc w:val="center"/>
            </w:pPr>
            <w:r>
              <w:rPr>
                <w:rFonts w:ascii="Arial" w:hAnsi="Arial"/>
                <w:i/>
                <w:color w:val="E7EDF5"/>
                <w:sz w:val="20"/>
              </w:rPr>
              <w:t>Multidisciplinary peer-reviewed scholarly journal</w:t>
            </w:r>
          </w:p>
        </w:tc>
        <w:tc>
          <w:tcPr>
            <w:tcW w:w="2615" w:type="dxa"/>
            <w:tcBorders>
              <w:top w:val="single" w:sz="10" w:space="0" w:color="C89B3C"/>
              <w:bottom w:val="single" w:sz="10" w:space="0" w:color="C89B3C"/>
            </w:tcBorders>
            <w:shd w:val="clear" w:color="auto" w:fill="0B2A52"/>
            <w:tcMar>
              <w:top w:w="90" w:type="dxa"/>
              <w:left w:w="120" w:type="dxa"/>
              <w:bottom w:w="90" w:type="dxa"/>
              <w:right w:w="120" w:type="dxa"/>
            </w:tcMar>
            <w:vAlign w:val="center"/>
          </w:tcPr>
          <w:p w:rsidR="00EC4278" w:rsidRDefault="00A7560F">
            <w:pPr>
              <w:spacing w:after="0" w:line="240" w:lineRule="auto"/>
              <w:jc w:val="right"/>
            </w:pPr>
            <w:r>
              <w:rPr>
                <w:rFonts w:ascii="Arial" w:hAnsi="Arial"/>
                <w:color w:val="FFFFFF"/>
                <w:sz w:val="20"/>
              </w:rPr>
              <w:t>ISSN: applied</w:t>
            </w:r>
          </w:p>
          <w:p w:rsidR="00EC4278" w:rsidRDefault="00A7560F">
            <w:pPr>
              <w:spacing w:after="0" w:line="240" w:lineRule="auto"/>
              <w:jc w:val="right"/>
            </w:pPr>
            <w:r>
              <w:rPr>
                <w:rFonts w:ascii="Arial" w:hAnsi="Arial"/>
                <w:color w:val="FFFFFF"/>
                <w:sz w:val="20"/>
              </w:rPr>
              <w:t>Status: pending</w:t>
            </w:r>
          </w:p>
          <w:p w:rsidR="00EC4278" w:rsidRDefault="003B4722">
            <w:pPr>
              <w:spacing w:after="0" w:line="240" w:lineRule="auto"/>
              <w:jc w:val="right"/>
            </w:pPr>
            <w:r>
              <w:rPr>
                <w:rFonts w:ascii="Arial" w:hAnsi="Arial"/>
                <w:b/>
                <w:color w:val="FFFFFF"/>
                <w:sz w:val="20"/>
              </w:rPr>
              <w:t>Vol.1 | Issue 1</w:t>
            </w:r>
          </w:p>
          <w:p w:rsidR="00EC4278" w:rsidRDefault="003B4722">
            <w:pPr>
              <w:spacing w:after="0" w:line="240" w:lineRule="auto"/>
              <w:jc w:val="right"/>
            </w:pPr>
            <w:r>
              <w:rPr>
                <w:rFonts w:ascii="Arial" w:hAnsi="Arial"/>
                <w:color w:val="FFFFFF"/>
                <w:sz w:val="20"/>
              </w:rPr>
              <w:t>Year: 2026</w:t>
            </w:r>
            <w:bookmarkStart w:id="0" w:name="_GoBack"/>
            <w:bookmarkEnd w:id="0"/>
          </w:p>
        </w:tc>
      </w:tr>
    </w:tbl>
    <w:p w:rsidR="00EC4278" w:rsidRDefault="00EC4278">
      <w:pPr>
        <w:spacing w:after="80"/>
      </w:pPr>
    </w:p>
    <w:p w:rsidR="003B4722" w:rsidRDefault="003B4722" w:rsidP="003B4722">
      <w:pPr>
        <w:jc w:val="center"/>
      </w:pPr>
      <w:r>
        <w:rPr>
          <w:b/>
          <w:sz w:val="28"/>
        </w:rPr>
        <w:t>MASOFAVIY TA’LIM SHAROITIDA INTERAKTIV METODLARNING AHAMIYATI</w:t>
      </w:r>
    </w:p>
    <w:p w:rsidR="003B4722" w:rsidRDefault="003B4722" w:rsidP="003B4722">
      <w:pPr>
        <w:spacing w:after="40"/>
        <w:jc w:val="center"/>
      </w:pPr>
      <w:r>
        <w:t xml:space="preserve">Muallif: </w:t>
      </w:r>
      <w:r>
        <w:t>Usmonov Oyatillo Yoldoshali ogli</w:t>
      </w:r>
    </w:p>
    <w:p w:rsidR="003B4722" w:rsidRDefault="003B4722" w:rsidP="003B4722">
      <w:pPr>
        <w:spacing w:after="40"/>
        <w:jc w:val="center"/>
      </w:pPr>
      <w:r>
        <w:t xml:space="preserve">Universitet nomi: </w:t>
      </w:r>
      <w:r>
        <w:t>Fargona Davlat Tenika Universituti</w:t>
      </w:r>
    </w:p>
    <w:p w:rsidR="003B4722" w:rsidRDefault="003B4722" w:rsidP="003B4722">
      <w:pPr>
        <w:spacing w:after="40"/>
        <w:jc w:val="center"/>
      </w:pPr>
      <w:r>
        <w:t xml:space="preserve">Email: </w:t>
      </w:r>
      <w:r>
        <w:t>Oyatillo@gmail.com</w:t>
      </w:r>
    </w:p>
    <w:p w:rsidR="003B4722" w:rsidRDefault="003B4722" w:rsidP="003B4722">
      <w:pPr>
        <w:spacing w:after="80"/>
      </w:pPr>
    </w:p>
    <w:p w:rsidR="003B4722" w:rsidRDefault="003B4722" w:rsidP="003B4722">
      <w:pPr>
        <w:spacing w:after="80" w:line="312" w:lineRule="auto"/>
        <w:jc w:val="both"/>
      </w:pPr>
      <w:proofErr w:type="gramStart"/>
      <w:r>
        <w:rPr>
          <w:b/>
        </w:rPr>
        <w:t>Annotatsiya.</w:t>
      </w:r>
      <w:proofErr w:type="gramEnd"/>
      <w:r>
        <w:rPr>
          <w:b/>
        </w:rPr>
        <w:t xml:space="preserve"> </w:t>
      </w:r>
      <w:r>
        <w:t xml:space="preserve">Mazkur maqolada masofaviy ta’lim sharoitida interaktiv metodlardan foydalanishning pedagogik zarurati, didaktik asoslari </w:t>
      </w:r>
      <w:proofErr w:type="gramStart"/>
      <w:r>
        <w:t>va</w:t>
      </w:r>
      <w:proofErr w:type="gramEnd"/>
      <w:r>
        <w:t xml:space="preserve"> amaliy samaradorligi tahlil qilinadi. </w:t>
      </w:r>
      <w:proofErr w:type="gramStart"/>
      <w:r>
        <w:t>Masofadan o‘qitish jarayonida o‘quvchi va o‘qituvchi o‘rtasidagi bevosita aloqa kamayishi, nazoratning murakkablashishi hamda o‘quv motivatsiyasining pasayish xavfi kuchayishi mumkin.</w:t>
      </w:r>
      <w:proofErr w:type="gramEnd"/>
      <w:r>
        <w:t xml:space="preserve"> Shu sababli ta’lim jarayonini faollashtiruvchi interaktiv metodlar – muammoli savol-javob, kichik guruhlarda ishlash, forum-munozara, loyiha metodi, keys-stadi, refleksiya </w:t>
      </w:r>
      <w:proofErr w:type="gramStart"/>
      <w:r>
        <w:t>va</w:t>
      </w:r>
      <w:proofErr w:type="gramEnd"/>
      <w:r>
        <w:t xml:space="preserve"> o‘zaro baholash usullarining qo‘llanishi alohida ahamiyat kasb etadi. Maqolada interaktiv metodlar talabaning mustaqil fikrlashi, muloqot kompetensiyasi, axborot bilan ishlash </w:t>
      </w:r>
      <w:proofErr w:type="gramStart"/>
      <w:r>
        <w:t>ko‘nikmasi</w:t>
      </w:r>
      <w:proofErr w:type="gramEnd"/>
      <w:r>
        <w:t xml:space="preserve"> va ta’lim natijalariga mas’uliyatini kuchaytirishi asoslab beriladi. Shuningdek, raqamli platformalarda interaktivlikni ta’minlash omillari, uchraydigan muammolar </w:t>
      </w:r>
      <w:proofErr w:type="gramStart"/>
      <w:r>
        <w:t>va</w:t>
      </w:r>
      <w:proofErr w:type="gramEnd"/>
      <w:r>
        <w:t xml:space="preserve"> ularni bartaraf etish bo‘yicha takliflar bayon etiladi.</w:t>
      </w:r>
    </w:p>
    <w:p w:rsidR="003B4722" w:rsidRDefault="003B4722" w:rsidP="003B4722">
      <w:pPr>
        <w:spacing w:after="160" w:line="312" w:lineRule="auto"/>
        <w:jc w:val="both"/>
      </w:pPr>
      <w:r>
        <w:rPr>
          <w:b/>
        </w:rPr>
        <w:t xml:space="preserve">Kalit so‘zlar: </w:t>
      </w:r>
      <w:r>
        <w:t>masofaviy ta’lim, interaktiv metodlar, talaba faolligi, raqamli platforma, forum, loyiha metodi, keys-stadi, refleksiya, o‘zaro baholash, mustaqil ta’lim</w:t>
      </w:r>
    </w:p>
    <w:p w:rsidR="003B4722" w:rsidRDefault="003B4722" w:rsidP="003B4722">
      <w:pPr>
        <w:spacing w:before="160" w:after="80" w:line="288" w:lineRule="auto"/>
      </w:pPr>
      <w:r>
        <w:rPr>
          <w:b/>
          <w:color w:val="000000"/>
        </w:rPr>
        <w:t>Kirish</w:t>
      </w:r>
    </w:p>
    <w:p w:rsidR="003B4722" w:rsidRDefault="003B4722" w:rsidP="003B4722">
      <w:pPr>
        <w:spacing w:after="120" w:line="360" w:lineRule="auto"/>
        <w:ind w:firstLine="709"/>
        <w:jc w:val="both"/>
      </w:pPr>
      <w:r>
        <w:t xml:space="preserve">Globallashuv, raqamlashtirish </w:t>
      </w:r>
      <w:proofErr w:type="gramStart"/>
      <w:r>
        <w:t>va</w:t>
      </w:r>
      <w:proofErr w:type="gramEnd"/>
      <w:r>
        <w:t xml:space="preserve"> axborot-kommunikatsiya texnologiyalarining jadal rivojlanishi natijasida ta’lim jarayonining an’anaviy shakllari bilan bir qatorda masofaviy ta’lim ham barqaror pedagogik amaliyotga aylandi. Bu ta’lim shakli hududiy, vaqt </w:t>
      </w:r>
      <w:proofErr w:type="gramStart"/>
      <w:r>
        <w:t>va</w:t>
      </w:r>
      <w:proofErr w:type="gramEnd"/>
      <w:r>
        <w:t xml:space="preserve"> tashkiliy cheklovlarni qisqartirishi bilan muhim bo‘lsa-da, o‘qitish sifati va o‘quvchilar faolligini ta’minlash masalasi doimo dolzarb bo‘lib qoladi. Auditoriyada tabiiy ravishda yuzaga keladigan savol-javob, kooperatsiya, bahs-munozara </w:t>
      </w:r>
      <w:proofErr w:type="gramStart"/>
      <w:r>
        <w:t>va</w:t>
      </w:r>
      <w:proofErr w:type="gramEnd"/>
      <w:r>
        <w:t xml:space="preserve"> tezkor fikr almashish imkoniyatlari onlayn muhitda o‘z-o‘zidan shakllanmaydi. Shu bois masofaviy ta’lim jarayonini shunchaki elektron ma’ruza </w:t>
      </w:r>
      <w:proofErr w:type="gramStart"/>
      <w:r>
        <w:t>va</w:t>
      </w:r>
      <w:proofErr w:type="gramEnd"/>
      <w:r>
        <w:t xml:space="preserve"> topshiriqlar almashinuvi darajasida emas, balki didaktik jihatdan puxta rejalashtirilgan interaktiv hamkorlik muhiti sifatida tashkil etish talab etiladi.</w:t>
      </w:r>
    </w:p>
    <w:p w:rsidR="003B4722" w:rsidRDefault="003B4722" w:rsidP="003B4722">
      <w:pPr>
        <w:spacing w:after="120" w:line="360" w:lineRule="auto"/>
        <w:ind w:firstLine="709"/>
        <w:jc w:val="both"/>
      </w:pPr>
      <w:r>
        <w:t xml:space="preserve">Interaktiv metodlar ta’lim oluvchini tayyor ma’lumotni qabul qiluvchi passiv subyektdan faol, fikrlovchi </w:t>
      </w:r>
      <w:proofErr w:type="gramStart"/>
      <w:r>
        <w:t>va</w:t>
      </w:r>
      <w:proofErr w:type="gramEnd"/>
      <w:r>
        <w:t xml:space="preserve"> hamkorlikka tayyor ishtirokchiga aylantiradi. </w:t>
      </w:r>
      <w:proofErr w:type="gramStart"/>
      <w:r>
        <w:t>Ayniqsa, masofaviy ta’limda bu metodlar motivatsiyani saqlash, ijtimoiy izolyatsiyani kamaytirish, o‘quv faoliyatini individual va jamoaviy shakllarda uyg‘unlashtirish hamda bilimlarni amaliy vaziyatlarga tatbiq etish imkonini beradi.</w:t>
      </w:r>
      <w:proofErr w:type="gramEnd"/>
      <w:r>
        <w:t xml:space="preserve"> Mavzuning dolzarbligi shundaki, bugungi kunda </w:t>
      </w:r>
      <w:proofErr w:type="gramStart"/>
      <w:r>
        <w:t>ko‘plab</w:t>
      </w:r>
      <w:proofErr w:type="gramEnd"/>
      <w:r>
        <w:t xml:space="preserve"> oliy ta’lim muassasalari aralash va masofaviy </w:t>
      </w:r>
      <w:r>
        <w:lastRenderedPageBreak/>
        <w:t>formatlardan foydalanayotgan bo‘lsalar-da, interaktiv metodlarni raqamli muhitga to‘g‘ri moslashtirish metodikasi hali barcha fanlar kesimida bir xil darajada takomillashmagan.</w:t>
      </w:r>
    </w:p>
    <w:p w:rsidR="003B4722" w:rsidRDefault="003B4722" w:rsidP="003B4722">
      <w:pPr>
        <w:spacing w:before="160" w:after="80" w:line="288" w:lineRule="auto"/>
      </w:pPr>
      <w:r>
        <w:rPr>
          <w:b/>
          <w:color w:val="000000"/>
        </w:rPr>
        <w:t xml:space="preserve">Adabiyotlar tahlili </w:t>
      </w:r>
      <w:proofErr w:type="gramStart"/>
      <w:r>
        <w:rPr>
          <w:b/>
          <w:color w:val="000000"/>
        </w:rPr>
        <w:t>va</w:t>
      </w:r>
      <w:proofErr w:type="gramEnd"/>
      <w:r>
        <w:rPr>
          <w:b/>
          <w:color w:val="000000"/>
        </w:rPr>
        <w:t xml:space="preserve"> metodlar</w:t>
      </w:r>
    </w:p>
    <w:p w:rsidR="003B4722" w:rsidRDefault="003B4722" w:rsidP="003B4722">
      <w:pPr>
        <w:spacing w:after="120" w:line="360" w:lineRule="auto"/>
        <w:ind w:firstLine="709"/>
        <w:jc w:val="both"/>
      </w:pPr>
      <w:r>
        <w:t xml:space="preserve">Pedagogika adabiyotlarida interaktiv o‘qitish talabaning bilimni tayyor ko‘rinishda emas, balki o‘z faoliyati, mulohazasi </w:t>
      </w:r>
      <w:proofErr w:type="gramStart"/>
      <w:r>
        <w:t>va</w:t>
      </w:r>
      <w:proofErr w:type="gramEnd"/>
      <w:r>
        <w:t xml:space="preserve"> muloqoti orqali egallashiga asoslangan jarayon sifatida tavsiflanadi. Pedagogik texnologiyalar haqidagi darslik </w:t>
      </w:r>
      <w:proofErr w:type="gramStart"/>
      <w:r>
        <w:t>va</w:t>
      </w:r>
      <w:proofErr w:type="gramEnd"/>
      <w:r>
        <w:t xml:space="preserve"> o‘quv qo‘llanmalarda interaktiv metodlarning asosiy vazifasi o‘quv faoliyatini faollashtirish, o‘quvchini qaror qabul qilishga jalb etish, bahs-munozara madaniyatini shakllantirish va refleksiv fikrlashni rivojlantirish ekani qayd etiladi. Oliy maktab pedagogikasi bo‘yicha manbalarda esa zamonaviy ta’lim jarayonining samaradorligi ko‘p jihatdan talabaning o‘zlashtirish usuliga, bilimni qo‘llash tajribasiga va o‘qituvchi bilan tashkil etilgan hamkorlik shakliga bog‘liqligi ta’kidlanadi. </w:t>
      </w:r>
      <w:proofErr w:type="gramStart"/>
      <w:r>
        <w:t>Demak, interaktiv metodlar masofaviy ta’limning sifati uchun yordamchi vosita emas, balki uning markaziy didaktik mexanizmlaridan biri hisoblanadi.</w:t>
      </w:r>
      <w:proofErr w:type="gramEnd"/>
    </w:p>
    <w:p w:rsidR="003B4722" w:rsidRDefault="003B4722" w:rsidP="003B4722">
      <w:pPr>
        <w:spacing w:after="120" w:line="360" w:lineRule="auto"/>
        <w:ind w:firstLine="709"/>
        <w:jc w:val="both"/>
      </w:pPr>
      <w:r>
        <w:t xml:space="preserve">Masofali o‘qitish nazariyasiga bag‘ishlangan manbalarda ushbu ta’lim shakli axborotni yetkazish bilan cheklanib qolmasligi, balki uzluksiz pedagogik aloqa, teskari bog‘lanish va o‘quvchi faoliyatini boshqarish tizimiga tayanishi zarurligi ko‘rsatib o‘tiladi. </w:t>
      </w:r>
      <w:proofErr w:type="gramStart"/>
      <w:r>
        <w:t>Mazkur yondashuv interaktivlikni masofaviy ta’limning metodik asosi sifatida talqin etishga imkon beradi.</w:t>
      </w:r>
      <w:proofErr w:type="gramEnd"/>
      <w:r>
        <w:t xml:space="preserve"> Interaktivlik ikki darajada namoyon </w:t>
      </w:r>
      <w:proofErr w:type="gramStart"/>
      <w:r>
        <w:t>bo‘ladi</w:t>
      </w:r>
      <w:proofErr w:type="gramEnd"/>
      <w:r>
        <w:t xml:space="preserve">: birinchidan, talabaning o‘quv materiali bilan faol ishlashi; ikkinchidan, talabaning o‘qituvchi va guruhdoshlari bilan hamkorligi. </w:t>
      </w:r>
      <w:proofErr w:type="gramStart"/>
      <w:r>
        <w:t>Aynan shu ikki daraja uyg‘unlashganda masofaviy ta’lim sharoitida mustahkam bilim, barqaror motivatsiya va ijtimoiy-kommunikativ ko‘nikmalar shakllanadi.</w:t>
      </w:r>
      <w:proofErr w:type="gramEnd"/>
    </w:p>
    <w:p w:rsidR="003B4722" w:rsidRDefault="003B4722" w:rsidP="003B4722">
      <w:pPr>
        <w:spacing w:after="120" w:line="360" w:lineRule="auto"/>
        <w:ind w:firstLine="709"/>
        <w:jc w:val="both"/>
      </w:pPr>
      <w:r>
        <w:t xml:space="preserve">Ushbu maqolada mantiqiy tahlil, qiyosiy yondashuv </w:t>
      </w:r>
      <w:proofErr w:type="gramStart"/>
      <w:r>
        <w:t>va</w:t>
      </w:r>
      <w:proofErr w:type="gramEnd"/>
      <w:r>
        <w:t xml:space="preserve"> umumlashtirish metodlaridan foydalanildi. </w:t>
      </w:r>
      <w:proofErr w:type="gramStart"/>
      <w:r>
        <w:t>Avvalo, interaktiv metodlar hamda masofaviy ta’limga doir pedagogik manbalar mazmunan tahlil qilindi.</w:t>
      </w:r>
      <w:proofErr w:type="gramEnd"/>
      <w:r>
        <w:t xml:space="preserve"> </w:t>
      </w:r>
      <w:proofErr w:type="gramStart"/>
      <w:r>
        <w:t>So‘ng interaktiv metodlarning masofaviy muhitdagi vazifalari – motivatsion, kommunikativ, nazorat, refleksiv va amaliy funksiyalari qiyosiy tartibda ajratib ko‘rsatildi.</w:t>
      </w:r>
      <w:proofErr w:type="gramEnd"/>
      <w:r>
        <w:t xml:space="preserve"> Bundan tashqari, raqamli ta’lim platformalarida qo‘llash mumkin </w:t>
      </w:r>
      <w:proofErr w:type="gramStart"/>
      <w:r>
        <w:t>bo‘lgan</w:t>
      </w:r>
      <w:proofErr w:type="gramEnd"/>
      <w:r>
        <w:t xml:space="preserve"> metodlar o‘zining didaktik natijasi, tashkil etish murakkabligi va talabalar faolligiga ta’siri jihatidan umumlashtirildi. Mazkur yondashuv mavzuni nazariy </w:t>
      </w:r>
      <w:proofErr w:type="gramStart"/>
      <w:r>
        <w:t>va</w:t>
      </w:r>
      <w:proofErr w:type="gramEnd"/>
      <w:r>
        <w:t xml:space="preserve"> amaliy nuqtai nazardan yoritish imkonini berdi.</w:t>
      </w:r>
    </w:p>
    <w:p w:rsidR="003B4722" w:rsidRDefault="003B4722" w:rsidP="003B4722">
      <w:pPr>
        <w:spacing w:before="160" w:after="80" w:line="288" w:lineRule="auto"/>
      </w:pPr>
      <w:r>
        <w:rPr>
          <w:b/>
          <w:color w:val="000000"/>
        </w:rPr>
        <w:t>Muhokama</w:t>
      </w:r>
    </w:p>
    <w:p w:rsidR="003B4722" w:rsidRDefault="003B4722" w:rsidP="003B4722">
      <w:pPr>
        <w:spacing w:after="120" w:line="360" w:lineRule="auto"/>
        <w:ind w:firstLine="709"/>
        <w:jc w:val="both"/>
      </w:pPr>
      <w:proofErr w:type="gramStart"/>
      <w:r>
        <w:t>Masofaviy ta’limda interaktiv metodlarning birinchi muhim jihati – ta’lim jarayonida talabaning ishtirok darajasini oshirishidir.</w:t>
      </w:r>
      <w:proofErr w:type="gramEnd"/>
      <w:r>
        <w:t xml:space="preserve"> An’anaviy videoma’ruza yoki matnli topshiriqlar </w:t>
      </w:r>
      <w:proofErr w:type="gramStart"/>
      <w:r>
        <w:t>ko‘pincha</w:t>
      </w:r>
      <w:proofErr w:type="gramEnd"/>
      <w:r>
        <w:t xml:space="preserve"> talabaning diqqatini uzoq vaqt ushlab turmaydi. Biroq muammoli savollar, onlayn forumlar, guruhli muhokama xonalari, sinxron savol-javob </w:t>
      </w:r>
      <w:proofErr w:type="gramStart"/>
      <w:r>
        <w:t>va</w:t>
      </w:r>
      <w:proofErr w:type="gramEnd"/>
      <w:r>
        <w:t xml:space="preserve"> tezkor viktorinalar o‘quvchini doimiy ravishda aqliy faollikka undaydi. Natijada o‘zlashtirish jarayoni bir yo‘nalishli axborot qabul qilishdan ko‘p tomonlama fikrlash </w:t>
      </w:r>
      <w:r>
        <w:lastRenderedPageBreak/>
        <w:t xml:space="preserve">jarayoniga aylanadi. Talaba nafaqat javob beradi, balki o‘z fikrini asoslaydi, boshqalarning nuqtai nazarini baholaydi </w:t>
      </w:r>
      <w:proofErr w:type="gramStart"/>
      <w:r>
        <w:t>va</w:t>
      </w:r>
      <w:proofErr w:type="gramEnd"/>
      <w:r>
        <w:t xml:space="preserve"> o‘z pozitsiyasini qayta ko‘rib chiqadi.</w:t>
      </w:r>
    </w:p>
    <w:p w:rsidR="003B4722" w:rsidRDefault="003B4722" w:rsidP="003B4722">
      <w:pPr>
        <w:spacing w:after="120" w:line="360" w:lineRule="auto"/>
        <w:ind w:firstLine="709"/>
        <w:jc w:val="both"/>
      </w:pPr>
      <w:r>
        <w:t xml:space="preserve">Ikkinchi jihat – interaktiv metodlar masofaviy ta’limdagi kommunikativ </w:t>
      </w:r>
      <w:proofErr w:type="gramStart"/>
      <w:r>
        <w:t>bo‘shliqni</w:t>
      </w:r>
      <w:proofErr w:type="gramEnd"/>
      <w:r>
        <w:t xml:space="preserve"> kamaytiradi. Onlayn muhitda talabalar </w:t>
      </w:r>
      <w:proofErr w:type="gramStart"/>
      <w:r>
        <w:t>ko‘pincha</w:t>
      </w:r>
      <w:proofErr w:type="gramEnd"/>
      <w:r>
        <w:t xml:space="preserve"> yolg‘iz ishlayotgandek his etadi, bu esa o‘quv motivatsiyasiga salbiy ta’sir ko‘rsatishi mumkin. Jamoaviy loyiha, juftlikda topshiriq bajarish, forumdagi munozara, peer-review </w:t>
      </w:r>
      <w:proofErr w:type="gramStart"/>
      <w:r>
        <w:t>va</w:t>
      </w:r>
      <w:proofErr w:type="gramEnd"/>
      <w:r>
        <w:t xml:space="preserve"> o‘zaro baholash kabi usullar talabalarda akademik hamjamiyat tuyg‘usini shakllantiradi. </w:t>
      </w:r>
      <w:proofErr w:type="gramStart"/>
      <w:r>
        <w:t>Bunday metodlar orqali o‘quvchining mas’uliyati faqat o‘qituvchi oldidagi majburiyat bilan cheklanmay, guruh oldidagi javobgarlik bilan ham mustahkamlanadi.</w:t>
      </w:r>
      <w:proofErr w:type="gramEnd"/>
      <w:r>
        <w:t xml:space="preserve"> </w:t>
      </w:r>
      <w:proofErr w:type="gramStart"/>
      <w:r>
        <w:t>Shu tariqa masofaviy ta’lim ijtimoiy o‘rganish muhitiga yaqinlashadi.</w:t>
      </w:r>
      <w:proofErr w:type="gramEnd"/>
    </w:p>
    <w:p w:rsidR="003B4722" w:rsidRDefault="003B4722" w:rsidP="003B4722">
      <w:pPr>
        <w:spacing w:after="120" w:line="360" w:lineRule="auto"/>
        <w:ind w:firstLine="709"/>
        <w:jc w:val="both"/>
      </w:pPr>
      <w:r>
        <w:t xml:space="preserve">Uchinchi jihat – interaktiv metodlar bilimlarni amaliyotga </w:t>
      </w:r>
      <w:proofErr w:type="gramStart"/>
      <w:r>
        <w:t>ko‘chirish</w:t>
      </w:r>
      <w:proofErr w:type="gramEnd"/>
      <w:r>
        <w:t xml:space="preserve"> imkoniyatini kengaytiradi. Keys-stadi, loyiha metodi, virtual laboratoriya topshiriqlari </w:t>
      </w:r>
      <w:proofErr w:type="gramStart"/>
      <w:r>
        <w:t>va</w:t>
      </w:r>
      <w:proofErr w:type="gramEnd"/>
      <w:r>
        <w:t xml:space="preserve"> vaziyatli muammolar nazariy bilimni real yoki realga yaqin holatlarda qo‘llashga xizmat qiladi. </w:t>
      </w:r>
      <w:proofErr w:type="gramStart"/>
      <w:r>
        <w:t>Ayniqsa, oliy ta’lim bosqichida bu metodlar kasbiy kompetensiyalarni rivojlantirish uchun juda zarur.</w:t>
      </w:r>
      <w:proofErr w:type="gramEnd"/>
      <w:r>
        <w:t xml:space="preserve"> Masofaviy formatda o‘qiyotgan talaba nazariy ma’lumotni o‘qibgina qolmay, uni tahlil qiladi, muammoni hal etadi, raqamli vositalar asosida yechimni taqdim etadi </w:t>
      </w:r>
      <w:proofErr w:type="gramStart"/>
      <w:r>
        <w:t>va</w:t>
      </w:r>
      <w:proofErr w:type="gramEnd"/>
      <w:r>
        <w:t xml:space="preserve"> natija yuzasidan refleksiya yuritadi.</w:t>
      </w:r>
    </w:p>
    <w:p w:rsidR="003B4722" w:rsidRDefault="003B4722" w:rsidP="003B4722">
      <w:pPr>
        <w:spacing w:after="120" w:line="360" w:lineRule="auto"/>
        <w:ind w:firstLine="709"/>
        <w:jc w:val="both"/>
      </w:pPr>
      <w:proofErr w:type="gramStart"/>
      <w:r>
        <w:t>Shu bilan birga, interaktiv metodlarni masofaviy ta’limga joriy etishda qator muammolar mavjud.</w:t>
      </w:r>
      <w:proofErr w:type="gramEnd"/>
      <w:r>
        <w:t xml:space="preserve"> </w:t>
      </w:r>
      <w:proofErr w:type="gramStart"/>
      <w:r>
        <w:t>Birinchidan, texnik infratuzilmaning yetarli emasligi – internet tezligi, qurilma sifati yoki platforma imkoniyatlarining cheklanganligi interaktiv faoliyatni to‘liq tashkil etishga to‘sqinlik qilishi mumkin.</w:t>
      </w:r>
      <w:proofErr w:type="gramEnd"/>
      <w:r>
        <w:t xml:space="preserve"> Ikkinchidan, ayrim o‘qituvchilarda raqamli pedagogik dizayn </w:t>
      </w:r>
      <w:proofErr w:type="gramStart"/>
      <w:r>
        <w:t>ko‘nikmalarining</w:t>
      </w:r>
      <w:proofErr w:type="gramEnd"/>
      <w:r>
        <w:t xml:space="preserve"> yetarli emasligi sababli interaktiv metodlar yuzaki yoki formal qo‘llanadi. Uchinchidan, talabalarning hammasida ham o‘zini o‘zi boshqarish, vaqtni rejalashtirish </w:t>
      </w:r>
      <w:proofErr w:type="gramStart"/>
      <w:r>
        <w:t>va</w:t>
      </w:r>
      <w:proofErr w:type="gramEnd"/>
      <w:r>
        <w:t xml:space="preserve"> onlayn muloqot etikasi bir xil shakllanmagan bo‘ladi. Demak, interaktiv metodlardan samarali foydalanish uchun faqat platforma emas, balki puxta metodik tayyorgarlik, aniq reglament </w:t>
      </w:r>
      <w:proofErr w:type="gramStart"/>
      <w:r>
        <w:t>va</w:t>
      </w:r>
      <w:proofErr w:type="gramEnd"/>
      <w:r>
        <w:t xml:space="preserve"> muntazam teskari aloqa tizimi ham zarur.</w:t>
      </w:r>
    </w:p>
    <w:p w:rsidR="003B4722" w:rsidRDefault="003B4722" w:rsidP="003B4722">
      <w:pPr>
        <w:spacing w:after="120" w:line="360" w:lineRule="auto"/>
        <w:ind w:firstLine="709"/>
        <w:jc w:val="both"/>
      </w:pPr>
      <w:proofErr w:type="gramStart"/>
      <w:r>
        <w:t>Masofaviy ta’limda interaktiv metodlarni tanlashda ‘bitta metod hamma vaziyatga mos’ degan yondashuv to‘g‘ri emas.</w:t>
      </w:r>
      <w:proofErr w:type="gramEnd"/>
      <w:r>
        <w:t xml:space="preserve"> Fanning mazmuni, talabalar soni, kurs bosqichi, vaqt resursi </w:t>
      </w:r>
      <w:proofErr w:type="gramStart"/>
      <w:r>
        <w:t>va</w:t>
      </w:r>
      <w:proofErr w:type="gramEnd"/>
      <w:r>
        <w:t xml:space="preserve"> platforma funksiyalariga qarab metodlar differensial tarzda tanlanishi kerak. Masalan, nazariy mavzular uchun forum-munozara </w:t>
      </w:r>
      <w:proofErr w:type="gramStart"/>
      <w:r>
        <w:t>va</w:t>
      </w:r>
      <w:proofErr w:type="gramEnd"/>
      <w:r>
        <w:t xml:space="preserve"> reflektiv esse samarali bo‘lsa, amaliy fanlarda loyiha metodi, topshiriqli seminar va keys-stadi ustun natija beradi. Katta guruhlarda tezkor onlayn test </w:t>
      </w:r>
      <w:proofErr w:type="gramStart"/>
      <w:r>
        <w:t>va</w:t>
      </w:r>
      <w:proofErr w:type="gramEnd"/>
      <w:r>
        <w:t xml:space="preserve"> interaktiv so‘rovlar foydali, kichik guruhlarda esa hamkorlikda taqdimot tayyorlash yoki muammoni jamoa bo‘lib hal etish kabi metodlar samaraliroq hisoblanadi.</w:t>
      </w:r>
    </w:p>
    <w:p w:rsidR="003B4722" w:rsidRDefault="003B4722" w:rsidP="003B4722">
      <w:pPr>
        <w:spacing w:before="160" w:after="80" w:line="288" w:lineRule="auto"/>
      </w:pPr>
      <w:r>
        <w:rPr>
          <w:b/>
          <w:color w:val="000000"/>
        </w:rPr>
        <w:t>Natijalar</w:t>
      </w:r>
    </w:p>
    <w:p w:rsidR="003B4722" w:rsidRDefault="003B4722" w:rsidP="003B4722">
      <w:pPr>
        <w:spacing w:after="120" w:line="360" w:lineRule="auto"/>
        <w:ind w:firstLine="709"/>
        <w:jc w:val="both"/>
      </w:pPr>
      <w:r>
        <w:t xml:space="preserve">Masofaviy ta’lim sharoitida interaktiv metodlardan foydalanishning didaktik natijalarini umumlashtirish ularning bir nechta yo‘nalishda ijobiy samara berishini ko‘rsatadi. Quyidagi jadvalda </w:t>
      </w:r>
      <w:r>
        <w:lastRenderedPageBreak/>
        <w:t xml:space="preserve">keng qo‘llanadigan ba’zi interaktiv metodlarning masofaviy muhitdagi vazifasi </w:t>
      </w:r>
      <w:proofErr w:type="gramStart"/>
      <w:r>
        <w:t>va</w:t>
      </w:r>
      <w:proofErr w:type="gramEnd"/>
      <w:r>
        <w:t xml:space="preserve"> kutiladigan pedagogik natijalari jamlandi.</w:t>
      </w:r>
    </w:p>
    <w:p w:rsidR="003B4722" w:rsidRDefault="003B4722" w:rsidP="003B4722">
      <w:pPr>
        <w:spacing w:before="80" w:after="60"/>
        <w:jc w:val="center"/>
      </w:pPr>
      <w:r>
        <w:rPr>
          <w:b/>
          <w:sz w:val="22"/>
        </w:rPr>
        <w:t>Masofaviy ta’limda interaktiv metodlarning didaktik imkoniyatlari</w:t>
      </w:r>
    </w:p>
    <w:tbl>
      <w:tblPr>
        <w:tblStyle w:val="aff0"/>
        <w:tblW w:w="0" w:type="auto"/>
        <w:jc w:val="center"/>
        <w:tblBorders>
          <w:top w:val="single" w:sz="8" w:space="0" w:color="777777"/>
          <w:left w:val="single" w:sz="8" w:space="0" w:color="777777"/>
          <w:bottom w:val="single" w:sz="8" w:space="0" w:color="777777"/>
          <w:right w:val="single" w:sz="8" w:space="0" w:color="777777"/>
          <w:insideH w:val="single" w:sz="8" w:space="0" w:color="777777"/>
          <w:insideV w:val="single" w:sz="8" w:space="0" w:color="777777"/>
        </w:tblBorders>
        <w:tblLayout w:type="fixed"/>
        <w:tblLook w:val="04A0" w:firstRow="1" w:lastRow="0" w:firstColumn="1" w:lastColumn="0" w:noHBand="0" w:noVBand="1"/>
      </w:tblPr>
      <w:tblGrid>
        <w:gridCol w:w="3230"/>
        <w:gridCol w:w="4082"/>
        <w:gridCol w:w="3230"/>
      </w:tblGrid>
      <w:tr w:rsidR="003B4722" w:rsidTr="003B4722">
        <w:trPr>
          <w:tblHeader/>
          <w:jc w:val="center"/>
        </w:trPr>
        <w:tc>
          <w:tcPr>
            <w:tcW w:w="2324" w:type="dxa"/>
            <w:tcBorders>
              <w:top w:val="single" w:sz="8" w:space="0" w:color="777777"/>
              <w:left w:val="single" w:sz="8" w:space="0" w:color="777777"/>
              <w:bottom w:val="single" w:sz="8" w:space="0" w:color="777777"/>
              <w:right w:val="single" w:sz="8" w:space="0" w:color="777777"/>
            </w:tcBorders>
            <w:shd w:val="clear" w:color="auto" w:fill="D9E2F3"/>
            <w:tcMar>
              <w:top w:w="120" w:type="dxa"/>
              <w:left w:w="120" w:type="dxa"/>
              <w:bottom w:w="120" w:type="dxa"/>
              <w:right w:w="120" w:type="dxa"/>
            </w:tcMar>
            <w:vAlign w:val="center"/>
            <w:hideMark/>
          </w:tcPr>
          <w:p w:rsidR="003B4722" w:rsidRDefault="003B4722">
            <w:pPr>
              <w:jc w:val="center"/>
              <w:rPr>
                <w:rFonts w:eastAsia="Times New Roman"/>
              </w:rPr>
            </w:pPr>
            <w:r>
              <w:rPr>
                <w:b/>
                <w:sz w:val="22"/>
              </w:rPr>
              <w:t>Metod</w:t>
            </w:r>
          </w:p>
        </w:tc>
        <w:tc>
          <w:tcPr>
            <w:tcW w:w="4082" w:type="dxa"/>
            <w:tcBorders>
              <w:top w:val="single" w:sz="8" w:space="0" w:color="777777"/>
              <w:left w:val="single" w:sz="8" w:space="0" w:color="777777"/>
              <w:bottom w:val="single" w:sz="8" w:space="0" w:color="777777"/>
              <w:right w:val="single" w:sz="8" w:space="0" w:color="777777"/>
            </w:tcBorders>
            <w:shd w:val="clear" w:color="auto" w:fill="D9E2F3"/>
            <w:tcMar>
              <w:top w:w="120" w:type="dxa"/>
              <w:left w:w="120" w:type="dxa"/>
              <w:bottom w:w="120" w:type="dxa"/>
              <w:right w:w="120" w:type="dxa"/>
            </w:tcMar>
            <w:vAlign w:val="center"/>
            <w:hideMark/>
          </w:tcPr>
          <w:p w:rsidR="003B4722" w:rsidRDefault="003B4722">
            <w:pPr>
              <w:jc w:val="center"/>
              <w:rPr>
                <w:rFonts w:eastAsia="Times New Roman"/>
              </w:rPr>
            </w:pPr>
            <w:r>
              <w:rPr>
                <w:b/>
                <w:sz w:val="22"/>
              </w:rPr>
              <w:t>Masofaviy muhitdagi vazifasi</w:t>
            </w:r>
          </w:p>
        </w:tc>
        <w:tc>
          <w:tcPr>
            <w:tcW w:w="2948" w:type="dxa"/>
            <w:tcBorders>
              <w:top w:val="single" w:sz="8" w:space="0" w:color="777777"/>
              <w:left w:val="single" w:sz="8" w:space="0" w:color="777777"/>
              <w:bottom w:val="single" w:sz="8" w:space="0" w:color="777777"/>
              <w:right w:val="single" w:sz="8" w:space="0" w:color="777777"/>
            </w:tcBorders>
            <w:shd w:val="clear" w:color="auto" w:fill="D9E2F3"/>
            <w:tcMar>
              <w:top w:w="120" w:type="dxa"/>
              <w:left w:w="120" w:type="dxa"/>
              <w:bottom w:w="120" w:type="dxa"/>
              <w:right w:w="120" w:type="dxa"/>
            </w:tcMar>
            <w:vAlign w:val="center"/>
            <w:hideMark/>
          </w:tcPr>
          <w:p w:rsidR="003B4722" w:rsidRDefault="003B4722">
            <w:pPr>
              <w:jc w:val="center"/>
              <w:rPr>
                <w:rFonts w:eastAsia="Times New Roman"/>
              </w:rPr>
            </w:pPr>
            <w:r>
              <w:rPr>
                <w:b/>
                <w:sz w:val="22"/>
              </w:rPr>
              <w:t>Kutiladigan natija</w:t>
            </w:r>
          </w:p>
        </w:tc>
      </w:tr>
      <w:tr w:rsidR="003B4722" w:rsidRPr="003B4722" w:rsidTr="003B4722">
        <w:trPr>
          <w:jc w:val="center"/>
        </w:trPr>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jc w:val="center"/>
              <w:rPr>
                <w:rFonts w:eastAsia="Times New Roman"/>
              </w:rPr>
            </w:pPr>
            <w:r>
              <w:rPr>
                <w:sz w:val="22"/>
              </w:rPr>
              <w:t>Forum-munozara</w:t>
            </w:r>
          </w:p>
        </w:tc>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rPr>
                <w:rFonts w:eastAsia="Times New Roman"/>
              </w:rPr>
            </w:pPr>
            <w:r>
              <w:rPr>
                <w:sz w:val="22"/>
              </w:rPr>
              <w:t>Asinxron yoki sinxron fikr almashish, savolga munosabat bildirish</w:t>
            </w:r>
          </w:p>
        </w:tc>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rPr>
                <w:rFonts w:eastAsia="Times New Roman"/>
              </w:rPr>
            </w:pPr>
            <w:r>
              <w:rPr>
                <w:sz w:val="22"/>
              </w:rPr>
              <w:t>Tanqidiy fikrlash, yozma nutq, dalillash ko‘nikmasi</w:t>
            </w:r>
          </w:p>
        </w:tc>
      </w:tr>
      <w:tr w:rsidR="003B4722" w:rsidRPr="003B4722" w:rsidTr="003B4722">
        <w:trPr>
          <w:jc w:val="center"/>
        </w:trPr>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jc w:val="center"/>
              <w:rPr>
                <w:rFonts w:eastAsia="Times New Roman"/>
              </w:rPr>
            </w:pPr>
            <w:r>
              <w:rPr>
                <w:sz w:val="22"/>
              </w:rPr>
              <w:t>Keys-stadi</w:t>
            </w:r>
          </w:p>
        </w:tc>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rPr>
                <w:rFonts w:eastAsia="Times New Roman"/>
              </w:rPr>
            </w:pPr>
            <w:r>
              <w:rPr>
                <w:sz w:val="22"/>
              </w:rPr>
              <w:t>Muayyan vaziyatni tahlil qilish va yechim ishlab chiqish</w:t>
            </w:r>
          </w:p>
        </w:tc>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rPr>
                <w:rFonts w:eastAsia="Times New Roman"/>
              </w:rPr>
            </w:pPr>
            <w:r>
              <w:rPr>
                <w:sz w:val="22"/>
              </w:rPr>
              <w:t>Nazariy bilimni amaliyotga tatbiq etish, qaror qabul qilish</w:t>
            </w:r>
          </w:p>
        </w:tc>
      </w:tr>
      <w:tr w:rsidR="003B4722" w:rsidRPr="003B4722" w:rsidTr="003B4722">
        <w:trPr>
          <w:jc w:val="center"/>
        </w:trPr>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jc w:val="center"/>
              <w:rPr>
                <w:rFonts w:eastAsia="Times New Roman"/>
              </w:rPr>
            </w:pPr>
            <w:r>
              <w:rPr>
                <w:sz w:val="22"/>
              </w:rPr>
              <w:t>Loyiha metodi</w:t>
            </w:r>
          </w:p>
        </w:tc>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rPr>
                <w:rFonts w:eastAsia="Times New Roman"/>
              </w:rPr>
            </w:pPr>
            <w:r>
              <w:rPr>
                <w:sz w:val="22"/>
              </w:rPr>
              <w:t>Jamoaviy yoki individual mahsulot yaratish</w:t>
            </w:r>
          </w:p>
        </w:tc>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rPr>
                <w:rFonts w:eastAsia="Times New Roman"/>
              </w:rPr>
            </w:pPr>
            <w:r>
              <w:rPr>
                <w:sz w:val="22"/>
              </w:rPr>
              <w:t>Mustaqillik, hamkorlik, taqdimot va tadqiqot ko‘nikmalari</w:t>
            </w:r>
          </w:p>
        </w:tc>
      </w:tr>
      <w:tr w:rsidR="003B4722" w:rsidRPr="003B4722" w:rsidTr="003B4722">
        <w:trPr>
          <w:jc w:val="center"/>
        </w:trPr>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jc w:val="center"/>
              <w:rPr>
                <w:rFonts w:eastAsia="Times New Roman"/>
              </w:rPr>
            </w:pPr>
            <w:r>
              <w:rPr>
                <w:sz w:val="22"/>
              </w:rPr>
              <w:t>Tezkor onlayn viktorina</w:t>
            </w:r>
          </w:p>
        </w:tc>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rPr>
                <w:rFonts w:eastAsia="Times New Roman"/>
              </w:rPr>
            </w:pPr>
            <w:r>
              <w:rPr>
                <w:sz w:val="22"/>
              </w:rPr>
              <w:t>Mavzu bo‘yicha tezkor teskari aloqa va o‘zini nazorat qilish</w:t>
            </w:r>
          </w:p>
        </w:tc>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rPr>
                <w:rFonts w:eastAsia="Times New Roman"/>
              </w:rPr>
            </w:pPr>
            <w:r>
              <w:rPr>
                <w:sz w:val="22"/>
              </w:rPr>
              <w:t>Diqqatni faollashtirish, o‘zlashtirish darajasini aniqlash</w:t>
            </w:r>
          </w:p>
        </w:tc>
      </w:tr>
      <w:tr w:rsidR="003B4722" w:rsidRPr="003B4722" w:rsidTr="003B4722">
        <w:trPr>
          <w:jc w:val="center"/>
        </w:trPr>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jc w:val="center"/>
              <w:rPr>
                <w:rFonts w:eastAsia="Times New Roman"/>
              </w:rPr>
            </w:pPr>
            <w:r>
              <w:rPr>
                <w:sz w:val="22"/>
              </w:rPr>
              <w:t>O‘zaro baholash</w:t>
            </w:r>
          </w:p>
        </w:tc>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rPr>
                <w:rFonts w:eastAsia="Times New Roman"/>
              </w:rPr>
            </w:pPr>
            <w:r>
              <w:rPr>
                <w:sz w:val="22"/>
              </w:rPr>
              <w:t>Talabalarning bir-biri ishini mezon asosida tahlil qilishi</w:t>
            </w:r>
          </w:p>
        </w:tc>
        <w:tc>
          <w:tcPr>
            <w:tcW w:w="3230" w:type="dxa"/>
            <w:tcBorders>
              <w:top w:val="single" w:sz="8" w:space="0" w:color="777777"/>
              <w:left w:val="single" w:sz="8" w:space="0" w:color="777777"/>
              <w:bottom w:val="single" w:sz="8" w:space="0" w:color="777777"/>
              <w:right w:val="single" w:sz="8" w:space="0" w:color="777777"/>
            </w:tcBorders>
            <w:tcMar>
              <w:top w:w="110" w:type="dxa"/>
              <w:left w:w="120" w:type="dxa"/>
              <w:bottom w:w="110" w:type="dxa"/>
              <w:right w:w="120" w:type="dxa"/>
            </w:tcMar>
            <w:vAlign w:val="center"/>
            <w:hideMark/>
          </w:tcPr>
          <w:p w:rsidR="003B4722" w:rsidRDefault="003B4722">
            <w:pPr>
              <w:rPr>
                <w:rFonts w:eastAsia="Times New Roman"/>
              </w:rPr>
            </w:pPr>
            <w:r>
              <w:rPr>
                <w:sz w:val="22"/>
              </w:rPr>
              <w:t>Refleksiya, adolatli baholash, javobgarlik hissi</w:t>
            </w:r>
          </w:p>
        </w:tc>
      </w:tr>
    </w:tbl>
    <w:p w:rsidR="003B4722" w:rsidRDefault="003B4722" w:rsidP="003B4722">
      <w:pPr>
        <w:spacing w:after="40"/>
        <w:rPr>
          <w:rFonts w:eastAsia="Times New Roman"/>
        </w:rPr>
      </w:pPr>
    </w:p>
    <w:p w:rsidR="003B4722" w:rsidRDefault="003B4722" w:rsidP="003B4722">
      <w:pPr>
        <w:spacing w:after="120" w:line="360" w:lineRule="auto"/>
        <w:ind w:firstLine="709"/>
        <w:jc w:val="both"/>
      </w:pPr>
      <w:r>
        <w:t xml:space="preserve">Jadvaldan </w:t>
      </w:r>
      <w:proofErr w:type="gramStart"/>
      <w:r>
        <w:t>ko‘rinadiki</w:t>
      </w:r>
      <w:proofErr w:type="gramEnd"/>
      <w:r>
        <w:t xml:space="preserve">, interaktiv metodlar masofaviy ta’limda nafaqat mavzuni qiziqarli tashkil etish, balki o‘quv jarayonini boshqarish, nazorat qilish, kommunikatsiyani kuchaytirish va mustaqil ta’limni qo‘llab-quvvatlash vazifasini ham bajaradi. Ularning samaradorligi esa uch shartga bog‘liq: metodni maqsadga muvofiq tanlash, faoliyat algoritmini oldindan aniq belgilash </w:t>
      </w:r>
      <w:proofErr w:type="gramStart"/>
      <w:r>
        <w:t>va</w:t>
      </w:r>
      <w:proofErr w:type="gramEnd"/>
      <w:r>
        <w:t xml:space="preserve"> baholash mezonlarini talabalarga ochiq ko‘rsatish.</w:t>
      </w:r>
    </w:p>
    <w:p w:rsidR="003B4722" w:rsidRDefault="003B4722" w:rsidP="003B4722">
      <w:pPr>
        <w:spacing w:before="160" w:after="80" w:line="288" w:lineRule="auto"/>
      </w:pPr>
      <w:r>
        <w:rPr>
          <w:b/>
          <w:color w:val="000000"/>
        </w:rPr>
        <w:t>Xulosa</w:t>
      </w:r>
    </w:p>
    <w:p w:rsidR="003B4722" w:rsidRDefault="003B4722" w:rsidP="003B4722">
      <w:pPr>
        <w:spacing w:after="120" w:line="360" w:lineRule="auto"/>
        <w:ind w:firstLine="709"/>
        <w:jc w:val="both"/>
      </w:pPr>
      <w:r>
        <w:t xml:space="preserve">Xulosa qilib aytganda, masofaviy ta’lim sharoitida interaktiv metodlar ta’lim sifati </w:t>
      </w:r>
      <w:proofErr w:type="gramStart"/>
      <w:r>
        <w:t>va</w:t>
      </w:r>
      <w:proofErr w:type="gramEnd"/>
      <w:r>
        <w:t xml:space="preserve"> o‘quvchi faolligini ta’minlaydigan asosiy omillardan biridir. </w:t>
      </w:r>
      <w:proofErr w:type="gramStart"/>
      <w:r>
        <w:t>Ular o‘quvchini passiv tinglovchidan faol ishtirokchiga aylantirib, bilimni anglash, qo‘llash, tahlil qilish va baholash bosqichlarini bir-biri bilan bog‘laydi.</w:t>
      </w:r>
      <w:proofErr w:type="gramEnd"/>
      <w:r>
        <w:t xml:space="preserve"> </w:t>
      </w:r>
      <w:proofErr w:type="gramStart"/>
      <w:r>
        <w:t>Interaktiv metodlar yordamida masofaviy ta’lim jarayoni individual o‘zlashtirish bilan bir qatorda hamkorlikdagi o‘rganish modeliga ham tayana oladi.</w:t>
      </w:r>
      <w:proofErr w:type="gramEnd"/>
    </w:p>
    <w:p w:rsidR="003B4722" w:rsidRDefault="003B4722" w:rsidP="003B4722">
      <w:pPr>
        <w:spacing w:after="120" w:line="360" w:lineRule="auto"/>
        <w:ind w:firstLine="709"/>
        <w:jc w:val="both"/>
      </w:pPr>
      <w:r>
        <w:t xml:space="preserve">Shuningdek, interaktiv metodlarning samarasi o‘qituvchining metodik mahorati, raqamli vositalardan foydalanish madaniyati va talabaning mustaqil ta’limga tayyorligi bilan bevosita bog‘liq. Shu bois oliy ta’lim muassasalarida o‘qituvchilar uchun raqamli pedagogika bo‘yicha amaliy treninglar, metodik tavsiyalar va namunaviy ssenariylar bazasini kengaytirish maqsadga muvofiq. </w:t>
      </w:r>
      <w:proofErr w:type="gramStart"/>
      <w:r>
        <w:t>Talabalar uchun esa platformada ishlash, akademik muloqot, o‘zaro baholash va vaqtni boshqarish ko‘nikmalarini rivojlantirishga qaratilgan yo‘riqnomalar zarur.</w:t>
      </w:r>
      <w:proofErr w:type="gramEnd"/>
    </w:p>
    <w:p w:rsidR="003B4722" w:rsidRDefault="003B4722" w:rsidP="003B4722">
      <w:pPr>
        <w:spacing w:after="120" w:line="360" w:lineRule="auto"/>
        <w:ind w:firstLine="709"/>
        <w:jc w:val="both"/>
      </w:pPr>
      <w:r>
        <w:t xml:space="preserve">Kelgusida masofaviy </w:t>
      </w:r>
      <w:proofErr w:type="gramStart"/>
      <w:r>
        <w:t>va</w:t>
      </w:r>
      <w:proofErr w:type="gramEnd"/>
      <w:r>
        <w:t xml:space="preserve"> aralash ta’lim modellarining kengayishi interaktiv metodlarni yanada chuqurroq integratsiya qilishni taqozo etadi. Demak, ta’limning raqamli shakllari muvaffaqiyati </w:t>
      </w:r>
      <w:proofErr w:type="gramStart"/>
      <w:r>
        <w:t>ko‘p</w:t>
      </w:r>
      <w:proofErr w:type="gramEnd"/>
      <w:r>
        <w:t xml:space="preserve"> </w:t>
      </w:r>
      <w:r>
        <w:lastRenderedPageBreak/>
        <w:t>jihatdan texnologiyaning o‘ziga emas, balki u bilan uyg‘unlashgan interaktiv pedagogik yondashuvlarning to‘g‘ri tanlanishi va amalda puxta tashkil etilishiga bog‘liq.</w:t>
      </w:r>
    </w:p>
    <w:p w:rsidR="003B4722" w:rsidRDefault="003B4722" w:rsidP="003B4722">
      <w:pPr>
        <w:spacing w:before="160" w:after="80" w:line="288" w:lineRule="auto"/>
      </w:pPr>
      <w:r>
        <w:rPr>
          <w:b/>
          <w:color w:val="000000"/>
        </w:rPr>
        <w:t>Foydalanilgan adabiyotlar</w:t>
      </w:r>
    </w:p>
    <w:p w:rsidR="003B4722" w:rsidRDefault="003B4722" w:rsidP="003B4722">
      <w:pPr>
        <w:spacing w:after="80" w:line="288" w:lineRule="auto"/>
        <w:ind w:left="425" w:hanging="425"/>
        <w:jc w:val="both"/>
      </w:pPr>
      <w:r>
        <w:rPr>
          <w:sz w:val="23"/>
        </w:rPr>
        <w:t xml:space="preserve">Abduqodirov, A.A., Pardayev, A.X. Masofali o‘qitish nazariyasi </w:t>
      </w:r>
      <w:proofErr w:type="gramStart"/>
      <w:r>
        <w:rPr>
          <w:sz w:val="23"/>
        </w:rPr>
        <w:t>va</w:t>
      </w:r>
      <w:proofErr w:type="gramEnd"/>
      <w:r>
        <w:rPr>
          <w:sz w:val="23"/>
        </w:rPr>
        <w:t xml:space="preserve"> amaliyoti: monografiya. – Toshkent: Fan, 2009. – 145 b.</w:t>
      </w:r>
    </w:p>
    <w:p w:rsidR="003B4722" w:rsidRDefault="003B4722" w:rsidP="003B4722">
      <w:pPr>
        <w:spacing w:after="80" w:line="288" w:lineRule="auto"/>
        <w:ind w:left="425" w:hanging="425"/>
        <w:jc w:val="both"/>
      </w:pPr>
      <w:r>
        <w:rPr>
          <w:sz w:val="23"/>
        </w:rPr>
        <w:t xml:space="preserve">Ayupov, R.X., Shayakubov, Sh.Sh. Interfaol ta’lim usullari </w:t>
      </w:r>
      <w:proofErr w:type="gramStart"/>
      <w:r>
        <w:rPr>
          <w:sz w:val="23"/>
        </w:rPr>
        <w:t>va</w:t>
      </w:r>
      <w:proofErr w:type="gramEnd"/>
      <w:r>
        <w:rPr>
          <w:sz w:val="23"/>
        </w:rPr>
        <w:t xml:space="preserve"> vositalari. – Toshkent: TMI, 2016. – 164 b.</w:t>
      </w:r>
    </w:p>
    <w:p w:rsidR="003B4722" w:rsidRDefault="003B4722" w:rsidP="003B4722">
      <w:pPr>
        <w:spacing w:after="80" w:line="288" w:lineRule="auto"/>
        <w:ind w:left="425" w:hanging="425"/>
        <w:jc w:val="both"/>
      </w:pPr>
      <w:proofErr w:type="gramStart"/>
      <w:r>
        <w:rPr>
          <w:sz w:val="23"/>
        </w:rPr>
        <w:t>Ibragimov, X., Abdullayeva, Sh. Pedagogika nazariyasi.</w:t>
      </w:r>
      <w:proofErr w:type="gramEnd"/>
      <w:r>
        <w:rPr>
          <w:sz w:val="23"/>
        </w:rPr>
        <w:t xml:space="preserve"> – Toshkent, 2008.</w:t>
      </w:r>
    </w:p>
    <w:p w:rsidR="003B4722" w:rsidRDefault="003B4722" w:rsidP="003B4722">
      <w:pPr>
        <w:spacing w:after="80" w:line="288" w:lineRule="auto"/>
        <w:ind w:left="425" w:hanging="425"/>
        <w:jc w:val="both"/>
      </w:pPr>
      <w:r>
        <w:rPr>
          <w:sz w:val="23"/>
        </w:rPr>
        <w:t>Ochilov, M., Ochilova, N. Oliy maktab pedagogikasi: darslik. – Toshkent: Aloqachi, 2008. – 304 b.</w:t>
      </w:r>
    </w:p>
    <w:p w:rsidR="003B4722" w:rsidRDefault="003B4722" w:rsidP="003B4722">
      <w:pPr>
        <w:spacing w:after="80" w:line="288" w:lineRule="auto"/>
        <w:ind w:left="425" w:hanging="425"/>
        <w:jc w:val="both"/>
      </w:pPr>
      <w:r>
        <w:rPr>
          <w:sz w:val="23"/>
        </w:rPr>
        <w:t xml:space="preserve">Omonov, H., Xo‘jayev, N. </w:t>
      </w:r>
      <w:proofErr w:type="gramStart"/>
      <w:r>
        <w:rPr>
          <w:sz w:val="23"/>
        </w:rPr>
        <w:t>va</w:t>
      </w:r>
      <w:proofErr w:type="gramEnd"/>
      <w:r>
        <w:rPr>
          <w:sz w:val="23"/>
        </w:rPr>
        <w:t xml:space="preserve"> boshq. Pedagogik texnologiyalar </w:t>
      </w:r>
      <w:proofErr w:type="gramStart"/>
      <w:r>
        <w:rPr>
          <w:sz w:val="23"/>
        </w:rPr>
        <w:t>va</w:t>
      </w:r>
      <w:proofErr w:type="gramEnd"/>
      <w:r>
        <w:rPr>
          <w:sz w:val="23"/>
        </w:rPr>
        <w:t xml:space="preserve"> pedagogik mahorat. – Toshkent, 2009.</w:t>
      </w:r>
    </w:p>
    <w:p w:rsidR="003B4722" w:rsidRDefault="003B4722" w:rsidP="003B4722">
      <w:pPr>
        <w:spacing w:after="80" w:line="288" w:lineRule="auto"/>
        <w:ind w:left="425" w:hanging="425"/>
        <w:jc w:val="both"/>
      </w:pPr>
      <w:r>
        <w:rPr>
          <w:sz w:val="23"/>
        </w:rPr>
        <w:t xml:space="preserve">Ro‘ziyeva, D., Usmonboyeva, M., Holiqova, Z. Interfaol metodlar: mohiyati </w:t>
      </w:r>
      <w:proofErr w:type="gramStart"/>
      <w:r>
        <w:rPr>
          <w:sz w:val="23"/>
        </w:rPr>
        <w:t>va</w:t>
      </w:r>
      <w:proofErr w:type="gramEnd"/>
      <w:r>
        <w:rPr>
          <w:sz w:val="23"/>
        </w:rPr>
        <w:t xml:space="preserve"> qo‘llanilishi: metodik qo‘llanma. – Toshkent: Nizomiy nomidagi TDPU, 2013. – 116 b.</w:t>
      </w:r>
    </w:p>
    <w:p w:rsidR="00EC4278" w:rsidRDefault="00EC4278"/>
    <w:p w:rsidR="00EC4278" w:rsidRDefault="00EC4278">
      <w:pPr>
        <w:spacing w:after="0" w:line="240" w:lineRule="auto"/>
      </w:pPr>
    </w:p>
    <w:p w:rsidR="00EC4278" w:rsidRDefault="00EC4278">
      <w:pPr>
        <w:spacing w:after="0" w:line="240" w:lineRule="auto"/>
      </w:pPr>
    </w:p>
    <w:p w:rsidR="00EC4278" w:rsidRDefault="00EC4278">
      <w:pPr>
        <w:spacing w:after="0" w:line="240" w:lineRule="auto"/>
      </w:pPr>
    </w:p>
    <w:p w:rsidR="00EC4278" w:rsidRDefault="00EC4278">
      <w:pPr>
        <w:spacing w:after="0" w:line="240" w:lineRule="auto"/>
      </w:pPr>
    </w:p>
    <w:p w:rsidR="00EC4278" w:rsidRDefault="00EC4278">
      <w:pPr>
        <w:spacing w:after="0" w:line="240" w:lineRule="auto"/>
      </w:pPr>
    </w:p>
    <w:p w:rsidR="00EC4278" w:rsidRDefault="00EC4278">
      <w:pPr>
        <w:spacing w:after="0" w:line="240" w:lineRule="auto"/>
      </w:pPr>
    </w:p>
    <w:p w:rsidR="00EC4278" w:rsidRDefault="00EC4278">
      <w:pPr>
        <w:spacing w:after="0" w:line="240" w:lineRule="auto"/>
      </w:pPr>
    </w:p>
    <w:p w:rsidR="00EC4278" w:rsidRDefault="00EC4278">
      <w:pPr>
        <w:spacing w:after="0" w:line="240" w:lineRule="auto"/>
      </w:pPr>
    </w:p>
    <w:p w:rsidR="00EC4278" w:rsidRDefault="00EC4278" w:rsidP="003B4722"/>
    <w:sectPr w:rsidR="00EC4278" w:rsidSect="00035715">
      <w:headerReference w:type="default" r:id="rId10"/>
      <w:footerReference w:type="default" r:id="rId11"/>
      <w:headerReference w:type="first" r:id="rId12"/>
      <w:footerReference w:type="first" r:id="rId13"/>
      <w:pgSz w:w="11906" w:h="16838"/>
      <w:pgMar w:top="142" w:right="935" w:bottom="765" w:left="935" w:header="113" w:footer="6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A47" w:rsidRDefault="002D6A47">
      <w:pPr>
        <w:spacing w:after="0" w:line="240" w:lineRule="auto"/>
      </w:pPr>
      <w:r>
        <w:separator/>
      </w:r>
    </w:p>
  </w:endnote>
  <w:endnote w:type="continuationSeparator" w:id="0">
    <w:p w:rsidR="002D6A47" w:rsidRDefault="002D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78" w:rsidRDefault="00EC4278">
    <w:pPr>
      <w:pStyle w:val="a7"/>
    </w:pPr>
  </w:p>
  <w:tbl>
    <w:tblPr>
      <w:tblW w:w="0" w:type="auto"/>
      <w:jc w:val="center"/>
      <w:tblLayout w:type="fixed"/>
      <w:tblLook w:val="04A0" w:firstRow="1" w:lastRow="0" w:firstColumn="1" w:lastColumn="0" w:noHBand="0" w:noVBand="1"/>
    </w:tblPr>
    <w:tblGrid>
      <w:gridCol w:w="3231"/>
      <w:gridCol w:w="3515"/>
      <w:gridCol w:w="3231"/>
    </w:tblGrid>
    <w:tr w:rsidR="00EC4278">
      <w:trPr>
        <w:jc w:val="center"/>
      </w:trPr>
      <w:tc>
        <w:tcPr>
          <w:tcW w:w="3231" w:type="dxa"/>
          <w:tcBorders>
            <w:top w:val="single" w:sz="6" w:space="0" w:color="D0D5DD"/>
          </w:tcBorders>
          <w:tcMar>
            <w:top w:w="55" w:type="dxa"/>
            <w:left w:w="60" w:type="dxa"/>
            <w:bottom w:w="25" w:type="dxa"/>
            <w:right w:w="60" w:type="dxa"/>
          </w:tcMar>
        </w:tcPr>
        <w:p w:rsidR="00EC4278" w:rsidRDefault="00A7560F">
          <w:r>
            <w:rPr>
              <w:rFonts w:ascii="Arial" w:hAnsi="Arial"/>
              <w:color w:val="667085"/>
              <w:sz w:val="16"/>
            </w:rPr>
            <w:t>Editable Word master template</w:t>
          </w:r>
        </w:p>
      </w:tc>
      <w:tc>
        <w:tcPr>
          <w:tcW w:w="3515" w:type="dxa"/>
          <w:tcBorders>
            <w:top w:val="single" w:sz="6" w:space="0" w:color="D0D5DD"/>
          </w:tcBorders>
          <w:tcMar>
            <w:top w:w="55" w:type="dxa"/>
            <w:left w:w="60" w:type="dxa"/>
            <w:bottom w:w="25" w:type="dxa"/>
            <w:right w:w="60" w:type="dxa"/>
          </w:tcMar>
        </w:tcPr>
        <w:p w:rsidR="00EC4278" w:rsidRDefault="00A7560F">
          <w:pPr>
            <w:jc w:val="center"/>
          </w:pPr>
          <w:r>
            <w:rPr>
              <w:rFonts w:ascii="Arial" w:hAnsi="Arial"/>
              <w:b/>
              <w:color w:val="0B2A52"/>
              <w:sz w:val="17"/>
            </w:rPr>
            <w:t>glob-journal.uz</w:t>
          </w:r>
        </w:p>
      </w:tc>
      <w:tc>
        <w:tcPr>
          <w:tcW w:w="3231" w:type="dxa"/>
          <w:tcBorders>
            <w:top w:val="single" w:sz="6" w:space="0" w:color="D0D5DD"/>
          </w:tcBorders>
          <w:tcMar>
            <w:top w:w="55" w:type="dxa"/>
            <w:left w:w="60" w:type="dxa"/>
            <w:bottom w:w="25" w:type="dxa"/>
            <w:right w:w="60" w:type="dxa"/>
          </w:tcMar>
        </w:tcPr>
        <w:p w:rsidR="00EC4278" w:rsidRDefault="00A7560F">
          <w:pPr>
            <w:jc w:val="right"/>
          </w:pPr>
          <w:r>
            <w:rPr>
              <w:rFonts w:ascii="Arial" w:hAnsi="Arial"/>
              <w:color w:val="667085"/>
              <w:sz w:val="16"/>
            </w:rPr>
            <w:t xml:space="preserve">Page </w:t>
          </w:r>
          <w:r>
            <w:fldChar w:fldCharType="begin"/>
          </w:r>
          <w:r>
            <w:instrText xml:space="preserve"> PAGE </w:instrText>
          </w:r>
          <w:r>
            <w:fldChar w:fldCharType="separate"/>
          </w:r>
          <w:r w:rsidR="003B4722">
            <w:rPr>
              <w:noProof/>
            </w:rPr>
            <w:t>2</w:t>
          </w:r>
          <w:r>
            <w:fldChar w:fldCharType="end"/>
          </w:r>
          <w:r>
            <w:rPr>
              <w:rFonts w:ascii="Arial" w:hAnsi="Arial"/>
              <w:color w:val="667085"/>
              <w:sz w:val="16"/>
            </w:rPr>
            <w:t xml:space="preserve"> of </w:t>
          </w:r>
          <w:fldSimple w:instr=" NUMPAGES ">
            <w:r w:rsidR="003B4722">
              <w:rPr>
                <w:noProof/>
              </w:rPr>
              <w:t>5</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78" w:rsidRDefault="00EC4278">
    <w:pPr>
      <w:pStyle w:val="a7"/>
    </w:pPr>
  </w:p>
  <w:tbl>
    <w:tblPr>
      <w:tblW w:w="0" w:type="auto"/>
      <w:jc w:val="center"/>
      <w:tblLayout w:type="fixed"/>
      <w:tblLook w:val="04A0" w:firstRow="1" w:lastRow="0" w:firstColumn="1" w:lastColumn="0" w:noHBand="0" w:noVBand="1"/>
    </w:tblPr>
    <w:tblGrid>
      <w:gridCol w:w="3231"/>
      <w:gridCol w:w="3515"/>
      <w:gridCol w:w="3231"/>
    </w:tblGrid>
    <w:tr w:rsidR="00EC4278">
      <w:trPr>
        <w:jc w:val="center"/>
      </w:trPr>
      <w:tc>
        <w:tcPr>
          <w:tcW w:w="3231" w:type="dxa"/>
          <w:tcBorders>
            <w:top w:val="single" w:sz="6" w:space="0" w:color="D0D5DD"/>
          </w:tcBorders>
          <w:tcMar>
            <w:top w:w="55" w:type="dxa"/>
            <w:left w:w="60" w:type="dxa"/>
            <w:bottom w:w="25" w:type="dxa"/>
            <w:right w:w="60" w:type="dxa"/>
          </w:tcMar>
        </w:tcPr>
        <w:p w:rsidR="00EC4278" w:rsidRDefault="00A7560F">
          <w:r>
            <w:rPr>
              <w:rFonts w:ascii="Arial" w:hAnsi="Arial"/>
              <w:color w:val="667085"/>
              <w:sz w:val="16"/>
            </w:rPr>
            <w:t>Editable Word master template</w:t>
          </w:r>
        </w:p>
      </w:tc>
      <w:tc>
        <w:tcPr>
          <w:tcW w:w="3515" w:type="dxa"/>
          <w:tcBorders>
            <w:top w:val="single" w:sz="6" w:space="0" w:color="D0D5DD"/>
          </w:tcBorders>
          <w:tcMar>
            <w:top w:w="55" w:type="dxa"/>
            <w:left w:w="60" w:type="dxa"/>
            <w:bottom w:w="25" w:type="dxa"/>
            <w:right w:w="60" w:type="dxa"/>
          </w:tcMar>
        </w:tcPr>
        <w:p w:rsidR="00EC4278" w:rsidRDefault="00A7560F">
          <w:pPr>
            <w:jc w:val="center"/>
          </w:pPr>
          <w:r>
            <w:rPr>
              <w:rFonts w:ascii="Arial" w:hAnsi="Arial"/>
              <w:b/>
              <w:color w:val="0B2A52"/>
              <w:sz w:val="17"/>
            </w:rPr>
            <w:t>glob-journal.uz</w:t>
          </w:r>
        </w:p>
      </w:tc>
      <w:tc>
        <w:tcPr>
          <w:tcW w:w="3231" w:type="dxa"/>
          <w:tcBorders>
            <w:top w:val="single" w:sz="6" w:space="0" w:color="D0D5DD"/>
          </w:tcBorders>
          <w:tcMar>
            <w:top w:w="55" w:type="dxa"/>
            <w:left w:w="60" w:type="dxa"/>
            <w:bottom w:w="25" w:type="dxa"/>
            <w:right w:w="60" w:type="dxa"/>
          </w:tcMar>
        </w:tcPr>
        <w:p w:rsidR="00EC4278" w:rsidRDefault="00A7560F">
          <w:pPr>
            <w:jc w:val="right"/>
          </w:pPr>
          <w:r>
            <w:rPr>
              <w:rFonts w:ascii="Arial" w:hAnsi="Arial"/>
              <w:color w:val="667085"/>
              <w:sz w:val="16"/>
            </w:rPr>
            <w:t xml:space="preserve">Page </w:t>
          </w:r>
          <w:r>
            <w:fldChar w:fldCharType="begin"/>
          </w:r>
          <w:r>
            <w:instrText xml:space="preserve"> PAGE </w:instrText>
          </w:r>
          <w:r>
            <w:fldChar w:fldCharType="separate"/>
          </w:r>
          <w:r w:rsidR="003B4722">
            <w:rPr>
              <w:noProof/>
            </w:rPr>
            <w:t>1</w:t>
          </w:r>
          <w:r>
            <w:fldChar w:fldCharType="end"/>
          </w:r>
          <w:r>
            <w:rPr>
              <w:rFonts w:ascii="Arial" w:hAnsi="Arial"/>
              <w:color w:val="667085"/>
              <w:sz w:val="16"/>
            </w:rPr>
            <w:t xml:space="preserve"> of </w:t>
          </w:r>
          <w:fldSimple w:instr=" NUMPAGES ">
            <w:r w:rsidR="003B4722">
              <w:rPr>
                <w:noProof/>
              </w:rPr>
              <w:t>5</w:t>
            </w:r>
          </w:fldSimple>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A47" w:rsidRDefault="002D6A47">
      <w:pPr>
        <w:spacing w:after="0" w:line="240" w:lineRule="auto"/>
      </w:pPr>
      <w:r>
        <w:separator/>
      </w:r>
    </w:p>
  </w:footnote>
  <w:footnote w:type="continuationSeparator" w:id="0">
    <w:p w:rsidR="002D6A47" w:rsidRDefault="002D6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278" w:rsidRDefault="00EC4278">
    <w:pPr>
      <w:pStyle w:val="a5"/>
    </w:pPr>
  </w:p>
  <w:tbl>
    <w:tblPr>
      <w:tblW w:w="0" w:type="auto"/>
      <w:jc w:val="center"/>
      <w:tblLayout w:type="fixed"/>
      <w:tblLook w:val="04A0" w:firstRow="1" w:lastRow="0" w:firstColumn="1" w:lastColumn="0" w:noHBand="0" w:noVBand="1"/>
    </w:tblPr>
    <w:tblGrid>
      <w:gridCol w:w="1134"/>
      <w:gridCol w:w="6123"/>
      <w:gridCol w:w="2721"/>
    </w:tblGrid>
    <w:tr w:rsidR="00EC4278">
      <w:trPr>
        <w:jc w:val="center"/>
      </w:trPr>
      <w:tc>
        <w:tcPr>
          <w:tcW w:w="1134" w:type="dxa"/>
          <w:tcBorders>
            <w:bottom w:val="single" w:sz="10" w:space="0" w:color="C89B3C"/>
          </w:tcBorders>
          <w:shd w:val="clear" w:color="auto" w:fill="F8FAFC"/>
          <w:tcMar>
            <w:top w:w="60" w:type="dxa"/>
            <w:left w:w="70" w:type="dxa"/>
            <w:bottom w:w="40" w:type="dxa"/>
            <w:right w:w="70" w:type="dxa"/>
          </w:tcMar>
          <w:vAlign w:val="center"/>
        </w:tcPr>
        <w:p w:rsidR="00EC4278" w:rsidRDefault="00A7560F">
          <w:pPr>
            <w:spacing w:after="0" w:line="240" w:lineRule="auto"/>
          </w:pPr>
          <w:r>
            <w:rPr>
              <w:noProof/>
              <w:lang w:val="ru-RU" w:eastAsia="ru-RU"/>
            </w:rPr>
            <w:drawing>
              <wp:inline distT="0" distB="0" distL="0" distR="0" wp14:anchorId="74923B27" wp14:editId="28F43C48">
                <wp:extent cx="378000" cy="378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_Journal_Official_Logo.png"/>
                        <pic:cNvPicPr/>
                      </pic:nvPicPr>
                      <pic:blipFill>
                        <a:blip r:embed="rId1"/>
                        <a:stretch>
                          <a:fillRect/>
                        </a:stretch>
                      </pic:blipFill>
                      <pic:spPr>
                        <a:xfrm>
                          <a:off x="0" y="0"/>
                          <a:ext cx="378000" cy="378000"/>
                        </a:xfrm>
                        <a:prstGeom prst="rect">
                          <a:avLst/>
                        </a:prstGeom>
                      </pic:spPr>
                    </pic:pic>
                  </a:graphicData>
                </a:graphic>
              </wp:inline>
            </w:drawing>
          </w:r>
        </w:p>
      </w:tc>
      <w:tc>
        <w:tcPr>
          <w:tcW w:w="6123" w:type="dxa"/>
          <w:tcBorders>
            <w:bottom w:val="single" w:sz="10" w:space="0" w:color="C89B3C"/>
          </w:tcBorders>
          <w:shd w:val="clear" w:color="auto" w:fill="F8FAFC"/>
          <w:tcMar>
            <w:top w:w="60" w:type="dxa"/>
            <w:left w:w="70" w:type="dxa"/>
            <w:bottom w:w="40" w:type="dxa"/>
            <w:right w:w="70" w:type="dxa"/>
          </w:tcMar>
          <w:vAlign w:val="center"/>
        </w:tcPr>
        <w:p w:rsidR="00EC4278" w:rsidRDefault="00A7560F">
          <w:pPr>
            <w:spacing w:after="0" w:line="240" w:lineRule="auto"/>
            <w:jc w:val="center"/>
          </w:pPr>
          <w:r>
            <w:rPr>
              <w:rFonts w:ascii="Arial" w:hAnsi="Arial"/>
              <w:b/>
              <w:color w:val="0B2A52"/>
              <w:sz w:val="18"/>
            </w:rPr>
            <w:t>GLOBAL JOURNAL OF CROSS-DISCIPLINARY INNOVATIONS</w:t>
          </w:r>
        </w:p>
        <w:p w:rsidR="00EC4278" w:rsidRDefault="00A7560F">
          <w:pPr>
            <w:spacing w:after="0" w:line="240" w:lineRule="auto"/>
            <w:jc w:val="center"/>
          </w:pPr>
          <w:r>
            <w:rPr>
              <w:rFonts w:ascii="Arial" w:hAnsi="Arial"/>
              <w:i/>
              <w:color w:val="667085"/>
              <w:sz w:val="16"/>
            </w:rPr>
            <w:t>Professional article template for issue preparation</w:t>
          </w:r>
        </w:p>
      </w:tc>
      <w:tc>
        <w:tcPr>
          <w:tcW w:w="2721" w:type="dxa"/>
          <w:tcBorders>
            <w:bottom w:val="single" w:sz="10" w:space="0" w:color="C89B3C"/>
          </w:tcBorders>
          <w:shd w:val="clear" w:color="auto" w:fill="F8FAFC"/>
          <w:tcMar>
            <w:top w:w="60" w:type="dxa"/>
            <w:left w:w="70" w:type="dxa"/>
            <w:bottom w:w="40" w:type="dxa"/>
            <w:right w:w="70" w:type="dxa"/>
          </w:tcMar>
          <w:vAlign w:val="center"/>
        </w:tcPr>
        <w:p w:rsidR="00EC4278" w:rsidRDefault="00A7560F">
          <w:pPr>
            <w:spacing w:after="0" w:line="240" w:lineRule="auto"/>
            <w:jc w:val="right"/>
          </w:pPr>
          <w:r>
            <w:rPr>
              <w:rFonts w:ascii="Arial" w:hAnsi="Arial"/>
              <w:b/>
              <w:color w:val="0B2A52"/>
              <w:sz w:val="17"/>
            </w:rPr>
            <w:t>glob-journal.uz</w:t>
          </w:r>
        </w:p>
        <w:p w:rsidR="00EC4278" w:rsidRDefault="00A7560F">
          <w:pPr>
            <w:spacing w:after="0" w:line="240" w:lineRule="auto"/>
            <w:jc w:val="right"/>
          </w:pPr>
          <w:r>
            <w:rPr>
              <w:rFonts w:ascii="Arial" w:hAnsi="Arial"/>
              <w:color w:val="667085"/>
              <w:sz w:val="16"/>
            </w:rPr>
            <w:t>ISSN: applied (pending)</w:t>
          </w:r>
        </w:p>
      </w:tc>
    </w:tr>
  </w:tbl>
  <w:p w:rsidR="00D805D7" w:rsidRDefault="002D6A4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JCDIWatermark" o:spid="_x0000_s2051" type="#_x0000_t75" style="position:absolute;left:0;text-align:left;margin-left:0;margin-top:0;width:340pt;height:340pt;z-index:-251658240;mso-position-horizontal:center;mso-position-horizontal-relative:page;mso-position-vertical:center;mso-position-vertical-relative:page" o:allowincell="f">
          <v:imagedata r:id="rId2" o:title="Global Journal Watermark"/>
          <o:lock v:ext="edit" rotation="t"/>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D7" w:rsidRDefault="002D6A4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JCDIWatermarkFirst" o:spid="_x0000_s2050" type="#_x0000_t75" style="position:absolute;left:0;text-align:left;margin-left:0;margin-top:0;width:340pt;height:340pt;z-index:-251659264;mso-position-horizontal:center;mso-position-horizontal-relative:page;mso-position-vertical:center;mso-position-vertical-relative:page" o:allowincell="f">
          <v:imagedata r:id="rId1" o:title="Global Journal Watermark"/>
          <o:lock v:ext="edit" rotation="t"/>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5715"/>
    <w:rsid w:val="0006063C"/>
    <w:rsid w:val="0015074B"/>
    <w:rsid w:val="0029639D"/>
    <w:rsid w:val="002D6A47"/>
    <w:rsid w:val="00326F90"/>
    <w:rsid w:val="003B4722"/>
    <w:rsid w:val="00A7560F"/>
    <w:rsid w:val="00AA1D8D"/>
    <w:rsid w:val="00B47730"/>
    <w:rsid w:val="00CB0664"/>
    <w:rsid w:val="00D805D7"/>
    <w:rsid w:val="00EC42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Title">
    <w:name w:val="SectionTitle"/>
    <w:rPr>
      <w:rFonts w:ascii="Arial" w:hAnsi="Arial"/>
      <w:b/>
      <w:color w:val="0B2A52"/>
      <w:sz w:val="32"/>
    </w:rPr>
  </w:style>
  <w:style w:type="paragraph" w:customStyle="1" w:styleId="Placeholder">
    <w:name w:val="Placeholder"/>
    <w:rPr>
      <w:rFonts w:ascii="Arial" w:hAnsi="Arial"/>
      <w:i/>
      <w:color w:val="667085"/>
      <w:sz w:val="21"/>
    </w:rPr>
  </w:style>
  <w:style w:type="paragraph" w:styleId="aff8">
    <w:name w:val="Balloon Text"/>
    <w:basedOn w:val="a1"/>
    <w:link w:val="aff9"/>
    <w:uiPriority w:val="99"/>
    <w:semiHidden/>
    <w:unhideWhenUsed/>
    <w:rsid w:val="00035715"/>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0357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Title">
    <w:name w:val="SectionTitle"/>
    <w:rPr>
      <w:rFonts w:ascii="Arial" w:hAnsi="Arial"/>
      <w:b/>
      <w:color w:val="0B2A52"/>
      <w:sz w:val="32"/>
    </w:rPr>
  </w:style>
  <w:style w:type="paragraph" w:customStyle="1" w:styleId="Placeholder">
    <w:name w:val="Placeholder"/>
    <w:rPr>
      <w:rFonts w:ascii="Arial" w:hAnsi="Arial"/>
      <w:i/>
      <w:color w:val="667085"/>
      <w:sz w:val="21"/>
    </w:rPr>
  </w:style>
  <w:style w:type="paragraph" w:styleId="aff8">
    <w:name w:val="Balloon Text"/>
    <w:basedOn w:val="a1"/>
    <w:link w:val="aff9"/>
    <w:uiPriority w:val="99"/>
    <w:semiHidden/>
    <w:unhideWhenUsed/>
    <w:rsid w:val="00035715"/>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035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6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4BC4-6339-4FCB-BDF2-477D329C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10223</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11993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Oyatulloh</cp:lastModifiedBy>
  <cp:revision>2</cp:revision>
  <dcterms:created xsi:type="dcterms:W3CDTF">2026-03-25T06:59:00Z</dcterms:created>
  <dcterms:modified xsi:type="dcterms:W3CDTF">2026-03-25T06:59:00Z</dcterms:modified>
</cp:coreProperties>
</file>